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E4" w:rsidRDefault="009C03E4" w:rsidP="009C03E4">
      <w:pPr>
        <w:autoSpaceDE w:val="0"/>
        <w:autoSpaceDN w:val="0"/>
        <w:adjustRightInd w:val="0"/>
        <w:spacing w:after="120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8226C">
        <w:rPr>
          <w:rFonts w:ascii="標楷體" w:eastAsia="標楷體" w:hAnsi="標楷體" w:cs="Times New Roman"/>
          <w:b/>
          <w:kern w:val="0"/>
          <w:sz w:val="28"/>
          <w:szCs w:val="28"/>
        </w:rPr>
        <w:t>國立臺灣海洋大學</w:t>
      </w:r>
      <w:r w:rsidRPr="00E8226C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工</w:t>
      </w:r>
      <w:r w:rsidRPr="00E8226C">
        <w:rPr>
          <w:rFonts w:ascii="標楷體" w:eastAsia="標楷體" w:hAnsi="標楷體" w:cs="Times New Roman"/>
          <w:b/>
          <w:kern w:val="0"/>
          <w:sz w:val="28"/>
          <w:szCs w:val="28"/>
        </w:rPr>
        <w:t>學院</w:t>
      </w:r>
      <w:r w:rsidRPr="00E8226C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海洋工程國際學分</w:t>
      </w:r>
      <w:r w:rsidRPr="00E8226C">
        <w:rPr>
          <w:rFonts w:ascii="標楷體" w:eastAsia="標楷體" w:hAnsi="標楷體" w:cs="Times New Roman"/>
          <w:b/>
          <w:kern w:val="0"/>
          <w:sz w:val="28"/>
          <w:szCs w:val="28"/>
        </w:rPr>
        <w:t>學程實施辦法</w:t>
      </w:r>
    </w:p>
    <w:p w:rsidR="009C03E4" w:rsidRPr="00222A00" w:rsidRDefault="009C03E4" w:rsidP="009C03E4">
      <w:pPr>
        <w:pStyle w:val="Default"/>
        <w:spacing w:line="280" w:lineRule="exact"/>
        <w:jc w:val="right"/>
        <w:rPr>
          <w:rFonts w:hAnsi="Times New Roman"/>
          <w:color w:val="auto"/>
          <w:sz w:val="18"/>
          <w:szCs w:val="18"/>
        </w:rPr>
      </w:pPr>
      <w:r w:rsidRPr="00222A00">
        <w:rPr>
          <w:rFonts w:hint="eastAsia"/>
          <w:color w:val="auto"/>
          <w:sz w:val="18"/>
          <w:szCs w:val="18"/>
        </w:rPr>
        <w:t>中華民國</w:t>
      </w:r>
      <w:r w:rsidRPr="00222A00">
        <w:rPr>
          <w:rFonts w:ascii="Times New Roman" w:hAnsi="Times New Roman" w:cs="Times New Roman"/>
          <w:color w:val="auto"/>
          <w:sz w:val="18"/>
          <w:szCs w:val="18"/>
        </w:rPr>
        <w:t>109</w:t>
      </w:r>
      <w:r w:rsidRPr="00222A00">
        <w:rPr>
          <w:rFonts w:hAnsi="Times New Roman" w:hint="eastAsia"/>
          <w:color w:val="auto"/>
          <w:sz w:val="18"/>
          <w:szCs w:val="18"/>
        </w:rPr>
        <w:t>年</w:t>
      </w:r>
      <w:r w:rsidRPr="00222A00">
        <w:rPr>
          <w:rFonts w:ascii="Times New Roman" w:hAnsi="Times New Roman" w:cs="Times New Roman"/>
          <w:color w:val="auto"/>
          <w:sz w:val="18"/>
          <w:szCs w:val="18"/>
        </w:rPr>
        <w:t>4</w:t>
      </w:r>
      <w:r w:rsidRPr="00222A00">
        <w:rPr>
          <w:rFonts w:hAnsi="Times New Roman" w:hint="eastAsia"/>
          <w:color w:val="auto"/>
          <w:sz w:val="18"/>
          <w:szCs w:val="18"/>
        </w:rPr>
        <w:t>月</w:t>
      </w:r>
      <w:r w:rsidRPr="00222A00">
        <w:rPr>
          <w:rFonts w:ascii="Times New Roman" w:hAnsi="Times New Roman" w:cs="Times New Roman"/>
          <w:color w:val="auto"/>
          <w:sz w:val="18"/>
          <w:szCs w:val="18"/>
        </w:rPr>
        <w:t>8</w:t>
      </w:r>
      <w:r w:rsidRPr="00222A00">
        <w:rPr>
          <w:rFonts w:hAnsi="Times New Roman" w:hint="eastAsia"/>
          <w:color w:val="auto"/>
          <w:sz w:val="18"/>
          <w:szCs w:val="18"/>
        </w:rPr>
        <w:t>日</w:t>
      </w:r>
      <w:r w:rsidRPr="00222A00">
        <w:rPr>
          <w:rFonts w:ascii="Times New Roman" w:hAnsi="Times New Roman" w:cs="Times New Roman"/>
          <w:color w:val="auto"/>
          <w:sz w:val="18"/>
          <w:szCs w:val="18"/>
        </w:rPr>
        <w:t>108</w:t>
      </w:r>
      <w:r w:rsidRPr="00222A00">
        <w:rPr>
          <w:rFonts w:hAnsi="Times New Roman" w:hint="eastAsia"/>
          <w:color w:val="auto"/>
          <w:sz w:val="18"/>
          <w:szCs w:val="18"/>
        </w:rPr>
        <w:t>學年度第</w:t>
      </w:r>
      <w:r w:rsidRPr="00222A00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222A00">
        <w:rPr>
          <w:rFonts w:hAnsi="Times New Roman" w:hint="eastAsia"/>
          <w:color w:val="auto"/>
          <w:sz w:val="18"/>
          <w:szCs w:val="18"/>
        </w:rPr>
        <w:t>學期第</w:t>
      </w:r>
      <w:r w:rsidRPr="00222A00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222A00">
        <w:rPr>
          <w:rFonts w:hAnsi="Times New Roman" w:hint="eastAsia"/>
          <w:color w:val="auto"/>
          <w:sz w:val="18"/>
          <w:szCs w:val="18"/>
        </w:rPr>
        <w:t>次院課程委員會會議通過</w:t>
      </w:r>
      <w:r w:rsidRPr="00222A00">
        <w:rPr>
          <w:rFonts w:hAnsi="Times New Roman"/>
          <w:color w:val="auto"/>
          <w:sz w:val="18"/>
          <w:szCs w:val="18"/>
        </w:rPr>
        <w:t xml:space="preserve"> </w:t>
      </w:r>
    </w:p>
    <w:p w:rsidR="009C03E4" w:rsidRDefault="009C03E4" w:rsidP="009C03E4">
      <w:pPr>
        <w:pStyle w:val="Default"/>
        <w:spacing w:line="280" w:lineRule="exact"/>
        <w:jc w:val="right"/>
        <w:rPr>
          <w:rFonts w:hAnsi="Times New Roman"/>
          <w:color w:val="FF0000"/>
          <w:sz w:val="18"/>
          <w:szCs w:val="18"/>
        </w:rPr>
      </w:pPr>
      <w:r w:rsidRPr="00222A00">
        <w:rPr>
          <w:rFonts w:hAnsi="Times New Roman" w:hint="eastAsia"/>
          <w:color w:val="auto"/>
          <w:sz w:val="18"/>
          <w:szCs w:val="18"/>
        </w:rPr>
        <w:t>中華民國</w:t>
      </w:r>
      <w:r w:rsidRPr="00222A00">
        <w:rPr>
          <w:rFonts w:ascii="Times New Roman" w:hAnsi="Times New Roman" w:cs="Times New Roman"/>
          <w:color w:val="auto"/>
          <w:sz w:val="18"/>
          <w:szCs w:val="18"/>
        </w:rPr>
        <w:t>109</w:t>
      </w:r>
      <w:r w:rsidRPr="00222A00">
        <w:rPr>
          <w:rFonts w:hAnsi="Times New Roman" w:hint="eastAsia"/>
          <w:color w:val="auto"/>
          <w:sz w:val="18"/>
          <w:szCs w:val="18"/>
        </w:rPr>
        <w:t>年</w:t>
      </w:r>
      <w:r w:rsidRPr="00222A00">
        <w:rPr>
          <w:rFonts w:ascii="Times New Roman" w:hAnsi="Times New Roman" w:cs="Times New Roman"/>
          <w:color w:val="auto"/>
          <w:sz w:val="18"/>
          <w:szCs w:val="18"/>
        </w:rPr>
        <w:t>5</w:t>
      </w:r>
      <w:r w:rsidRPr="00222A00">
        <w:rPr>
          <w:rFonts w:hAnsi="Times New Roman" w:hint="eastAsia"/>
          <w:color w:val="auto"/>
          <w:sz w:val="18"/>
          <w:szCs w:val="18"/>
        </w:rPr>
        <w:t>月</w:t>
      </w:r>
      <w:r w:rsidRPr="00222A00">
        <w:rPr>
          <w:rFonts w:ascii="Times New Roman" w:hAnsi="Times New Roman" w:cs="Times New Roman"/>
          <w:color w:val="auto"/>
          <w:sz w:val="18"/>
          <w:szCs w:val="18"/>
        </w:rPr>
        <w:t>14</w:t>
      </w:r>
      <w:r w:rsidRPr="00222A00">
        <w:rPr>
          <w:rFonts w:hAnsi="Times New Roman" w:hint="eastAsia"/>
          <w:color w:val="auto"/>
          <w:sz w:val="18"/>
          <w:szCs w:val="18"/>
        </w:rPr>
        <w:t>日</w:t>
      </w:r>
      <w:r w:rsidRPr="00222A00">
        <w:rPr>
          <w:rFonts w:ascii="Times New Roman" w:hAnsi="Times New Roman" w:cs="Times New Roman"/>
          <w:color w:val="auto"/>
          <w:sz w:val="18"/>
          <w:szCs w:val="18"/>
        </w:rPr>
        <w:t>108</w:t>
      </w:r>
      <w:r w:rsidRPr="00222A00">
        <w:rPr>
          <w:rFonts w:hAnsi="Times New Roman" w:hint="eastAsia"/>
          <w:color w:val="auto"/>
          <w:sz w:val="18"/>
          <w:szCs w:val="18"/>
        </w:rPr>
        <w:t>學年度第</w:t>
      </w:r>
      <w:r w:rsidRPr="00222A00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222A00">
        <w:rPr>
          <w:rFonts w:hAnsi="Times New Roman" w:hint="eastAsia"/>
          <w:color w:val="auto"/>
          <w:sz w:val="18"/>
          <w:szCs w:val="18"/>
        </w:rPr>
        <w:t>學期校課程委員會會議通過</w:t>
      </w:r>
      <w:r>
        <w:rPr>
          <w:rFonts w:hAnsi="Times New Roman"/>
          <w:color w:val="FF0000"/>
          <w:sz w:val="18"/>
          <w:szCs w:val="18"/>
        </w:rPr>
        <w:t xml:space="preserve"> </w:t>
      </w:r>
    </w:p>
    <w:p w:rsidR="009C03E4" w:rsidRDefault="009C03E4" w:rsidP="009C03E4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 w:cs="Times New Roman"/>
          <w:color w:val="FF0000"/>
          <w:kern w:val="0"/>
          <w:sz w:val="18"/>
          <w:szCs w:val="18"/>
        </w:rPr>
      </w:pPr>
      <w:r w:rsidRPr="00CF1D40">
        <w:rPr>
          <w:rFonts w:ascii="Times New Roman" w:eastAsia="標楷體" w:hAnsi="Times New Roman" w:cs="Times New Roman" w:hint="eastAsia"/>
          <w:kern w:val="0"/>
          <w:sz w:val="18"/>
          <w:szCs w:val="18"/>
        </w:rPr>
        <w:t>中華民國</w:t>
      </w:r>
      <w:r w:rsidRPr="00CF1D40">
        <w:rPr>
          <w:rFonts w:ascii="Times New Roman" w:eastAsia="標楷體" w:hAnsi="Times New Roman" w:cs="Times New Roman"/>
          <w:kern w:val="0"/>
          <w:sz w:val="18"/>
          <w:szCs w:val="18"/>
        </w:rPr>
        <w:t>109</w:t>
      </w:r>
      <w:r w:rsidRPr="00CF1D40">
        <w:rPr>
          <w:rFonts w:ascii="Times New Roman" w:eastAsia="標楷體" w:hAnsi="Times New Roman" w:cs="Times New Roman" w:hint="eastAsia"/>
          <w:kern w:val="0"/>
          <w:sz w:val="18"/>
          <w:szCs w:val="18"/>
        </w:rPr>
        <w:t>年</w:t>
      </w:r>
      <w:r w:rsidRPr="00CF1D40">
        <w:rPr>
          <w:rFonts w:ascii="Times New Roman" w:eastAsia="標楷體" w:hAnsi="Times New Roman" w:cs="Times New Roman"/>
          <w:kern w:val="0"/>
          <w:sz w:val="18"/>
          <w:szCs w:val="18"/>
        </w:rPr>
        <w:t>6</w:t>
      </w:r>
      <w:r w:rsidRPr="00CF1D40">
        <w:rPr>
          <w:rFonts w:ascii="Times New Roman" w:eastAsia="標楷體" w:hAnsi="Times New Roman" w:cs="Times New Roman" w:hint="eastAsia"/>
          <w:kern w:val="0"/>
          <w:sz w:val="18"/>
          <w:szCs w:val="18"/>
        </w:rPr>
        <w:t>月</w:t>
      </w:r>
      <w:r w:rsidRPr="00CF1D40">
        <w:rPr>
          <w:rFonts w:ascii="Times New Roman" w:eastAsia="標楷體" w:hAnsi="Times New Roman" w:cs="Times New Roman"/>
          <w:kern w:val="0"/>
          <w:sz w:val="18"/>
          <w:szCs w:val="18"/>
        </w:rPr>
        <w:t>11</w:t>
      </w:r>
      <w:r w:rsidRPr="00CF1D40">
        <w:rPr>
          <w:rFonts w:ascii="Times New Roman" w:eastAsia="標楷體" w:hAnsi="Times New Roman" w:cs="Times New Roman" w:hint="eastAsia"/>
          <w:kern w:val="0"/>
          <w:sz w:val="18"/>
          <w:szCs w:val="18"/>
        </w:rPr>
        <w:t>日</w:t>
      </w:r>
      <w:r w:rsidRPr="00CF1D40">
        <w:rPr>
          <w:rFonts w:ascii="Times New Roman" w:eastAsia="標楷體" w:hAnsi="Times New Roman" w:cs="Times New Roman"/>
          <w:kern w:val="0"/>
          <w:sz w:val="18"/>
          <w:szCs w:val="18"/>
        </w:rPr>
        <w:t>108</w:t>
      </w:r>
      <w:r w:rsidRPr="00CF1D40">
        <w:rPr>
          <w:rFonts w:ascii="Times New Roman" w:eastAsia="標楷體" w:hAnsi="Times New Roman" w:cs="Times New Roman" w:hint="eastAsia"/>
          <w:kern w:val="0"/>
          <w:sz w:val="18"/>
          <w:szCs w:val="18"/>
        </w:rPr>
        <w:t>學年度第</w:t>
      </w:r>
      <w:r w:rsidRPr="00CF1D40">
        <w:rPr>
          <w:rFonts w:ascii="Times New Roman" w:eastAsia="標楷體" w:hAnsi="Times New Roman" w:cs="Times New Roman"/>
          <w:kern w:val="0"/>
          <w:sz w:val="18"/>
          <w:szCs w:val="18"/>
        </w:rPr>
        <w:t>2</w:t>
      </w:r>
      <w:r w:rsidRPr="00CF1D40">
        <w:rPr>
          <w:rFonts w:ascii="Times New Roman" w:eastAsia="標楷體" w:hAnsi="Times New Roman" w:cs="Times New Roman" w:hint="eastAsia"/>
          <w:kern w:val="0"/>
          <w:sz w:val="18"/>
          <w:szCs w:val="18"/>
        </w:rPr>
        <w:t>學期第</w:t>
      </w:r>
      <w:r w:rsidRPr="00CF1D40">
        <w:rPr>
          <w:rFonts w:ascii="Times New Roman" w:eastAsia="標楷體" w:hAnsi="Times New Roman" w:cs="Times New Roman"/>
          <w:kern w:val="0"/>
          <w:sz w:val="18"/>
          <w:szCs w:val="18"/>
        </w:rPr>
        <w:t>2</w:t>
      </w:r>
      <w:r w:rsidRPr="00CF1D40">
        <w:rPr>
          <w:rFonts w:ascii="Times New Roman" w:eastAsia="標楷體" w:hAnsi="Times New Roman" w:cs="Times New Roman" w:hint="eastAsia"/>
          <w:kern w:val="0"/>
          <w:sz w:val="18"/>
          <w:szCs w:val="18"/>
        </w:rPr>
        <w:t>次教務會議修正通過</w:t>
      </w:r>
    </w:p>
    <w:p w:rsidR="00CF1D40" w:rsidRPr="00CF1D40" w:rsidRDefault="00CF1D40" w:rsidP="009C03E4">
      <w:pPr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FF0000"/>
          <w:kern w:val="0"/>
          <w:sz w:val="18"/>
          <w:szCs w:val="18"/>
        </w:rPr>
        <w:t>中華民國</w:t>
      </w:r>
      <w:r>
        <w:rPr>
          <w:rFonts w:ascii="Times New Roman" w:eastAsia="標楷體" w:hAnsi="Times New Roman"/>
          <w:color w:val="FF0000"/>
          <w:kern w:val="0"/>
          <w:sz w:val="18"/>
          <w:szCs w:val="18"/>
        </w:rPr>
        <w:t>109</w:t>
      </w:r>
      <w:r>
        <w:rPr>
          <w:rFonts w:ascii="Times New Roman" w:eastAsia="標楷體" w:hAnsi="Times New Roman" w:hint="eastAsia"/>
          <w:color w:val="FF0000"/>
          <w:kern w:val="0"/>
          <w:sz w:val="18"/>
          <w:szCs w:val="18"/>
        </w:rPr>
        <w:t>年</w:t>
      </w:r>
      <w:r>
        <w:rPr>
          <w:rFonts w:ascii="Times New Roman" w:eastAsia="標楷體" w:hAnsi="Times New Roman"/>
          <w:color w:val="FF0000"/>
          <w:kern w:val="0"/>
          <w:sz w:val="18"/>
          <w:szCs w:val="18"/>
        </w:rPr>
        <w:t>6</w:t>
      </w:r>
      <w:r>
        <w:rPr>
          <w:rFonts w:ascii="Times New Roman" w:eastAsia="標楷體" w:hAnsi="Times New Roman" w:hint="eastAsia"/>
          <w:color w:val="FF0000"/>
          <w:kern w:val="0"/>
          <w:sz w:val="18"/>
          <w:szCs w:val="18"/>
        </w:rPr>
        <w:t>月</w:t>
      </w:r>
      <w:bookmarkStart w:id="0" w:name="_GoBack"/>
      <w:bookmarkEnd w:id="0"/>
      <w:r w:rsidR="00914679">
        <w:rPr>
          <w:rFonts w:ascii="Times New Roman" w:eastAsia="標楷體" w:hAnsi="Times New Roman" w:hint="eastAsia"/>
          <w:color w:val="FF0000"/>
          <w:kern w:val="0"/>
          <w:sz w:val="18"/>
          <w:szCs w:val="18"/>
        </w:rPr>
        <w:t>29</w:t>
      </w:r>
      <w:r>
        <w:rPr>
          <w:rFonts w:ascii="Times New Roman" w:eastAsia="標楷體" w:hAnsi="Times New Roman" w:hint="eastAsia"/>
          <w:color w:val="FF0000"/>
          <w:kern w:val="0"/>
          <w:sz w:val="18"/>
          <w:szCs w:val="18"/>
        </w:rPr>
        <w:t>日</w:t>
      </w:r>
      <w:r w:rsidR="00914679" w:rsidRPr="00914679">
        <w:rPr>
          <w:rFonts w:ascii="Times New Roman" w:eastAsia="標楷體" w:hAnsi="Times New Roman" w:hint="eastAsia"/>
          <w:color w:val="FF0000"/>
          <w:kern w:val="0"/>
          <w:sz w:val="18"/>
          <w:szCs w:val="18"/>
        </w:rPr>
        <w:t>海工院字第</w:t>
      </w:r>
      <w:r w:rsidR="00914679" w:rsidRPr="00914679">
        <w:rPr>
          <w:rFonts w:ascii="Times New Roman" w:eastAsia="標楷體" w:hAnsi="Times New Roman" w:hint="eastAsia"/>
          <w:color w:val="FF0000"/>
          <w:kern w:val="0"/>
          <w:sz w:val="18"/>
          <w:szCs w:val="18"/>
        </w:rPr>
        <w:t>1090011980</w:t>
      </w:r>
      <w:r w:rsidR="00914679" w:rsidRPr="00914679">
        <w:rPr>
          <w:rFonts w:ascii="Times New Roman" w:eastAsia="標楷體" w:hAnsi="Times New Roman" w:hint="eastAsia"/>
          <w:color w:val="FF0000"/>
          <w:kern w:val="0"/>
          <w:sz w:val="18"/>
          <w:szCs w:val="18"/>
        </w:rPr>
        <w:t>號</w:t>
      </w:r>
      <w:r>
        <w:rPr>
          <w:rFonts w:ascii="Times New Roman" w:eastAsia="標楷體" w:hAnsi="Times New Roman" w:hint="eastAsia"/>
          <w:color w:val="FF0000"/>
          <w:kern w:val="0"/>
          <w:sz w:val="18"/>
          <w:szCs w:val="18"/>
        </w:rPr>
        <w:t>令發布</w:t>
      </w:r>
    </w:p>
    <w:p w:rsidR="009C03E4" w:rsidRPr="00E8226C" w:rsidRDefault="009C03E4" w:rsidP="009C03E4">
      <w:pPr>
        <w:autoSpaceDE w:val="0"/>
        <w:autoSpaceDN w:val="0"/>
        <w:adjustRightInd w:val="0"/>
        <w:spacing w:line="240" w:lineRule="exact"/>
        <w:ind w:right="-802" w:firstLine="3960"/>
        <w:rPr>
          <w:rFonts w:ascii="新細明體" w:eastAsia="新細明體" w:hAnsi="新細明體" w:cs="Times New Roman"/>
          <w:kern w:val="0"/>
          <w:sz w:val="16"/>
          <w:szCs w:val="16"/>
        </w:rPr>
      </w:pPr>
    </w:p>
    <w:p w:rsidR="009C03E4" w:rsidRPr="00E8226C" w:rsidRDefault="009C03E4" w:rsidP="009C03E4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960" w:hangingChars="400" w:hanging="960"/>
        <w:rPr>
          <w:rFonts w:ascii="標楷體" w:eastAsia="標楷體" w:hAnsi="標楷體" w:cs="Times New Roman"/>
          <w:kern w:val="0"/>
          <w:szCs w:val="24"/>
        </w:rPr>
      </w:pPr>
      <w:r w:rsidRPr="00E8226C">
        <w:rPr>
          <w:rFonts w:ascii="標楷體" w:eastAsia="標楷體" w:hAnsi="標楷體" w:cs="Times New Roman"/>
          <w:kern w:val="0"/>
          <w:szCs w:val="24"/>
        </w:rPr>
        <w:t>為培養本校學生對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海洋工程領域</w:t>
      </w:r>
      <w:r w:rsidRPr="00E8226C">
        <w:rPr>
          <w:rFonts w:ascii="標楷體" w:eastAsia="標楷體" w:hAnsi="標楷體" w:cs="Times New Roman"/>
          <w:kern w:val="0"/>
          <w:szCs w:val="24"/>
        </w:rPr>
        <w:t>之基本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認</w:t>
      </w:r>
      <w:r w:rsidRPr="00E8226C">
        <w:rPr>
          <w:rFonts w:ascii="標楷體" w:eastAsia="標楷體" w:hAnsi="標楷體" w:cs="Times New Roman"/>
          <w:kern w:val="0"/>
          <w:szCs w:val="24"/>
        </w:rPr>
        <w:t>知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與</w:t>
      </w:r>
      <w:proofErr w:type="gramStart"/>
      <w:r w:rsidRPr="00E8226C">
        <w:rPr>
          <w:rFonts w:ascii="標楷體" w:eastAsia="標楷體" w:hAnsi="標楷體" w:cs="Times New Roman"/>
          <w:kern w:val="0"/>
          <w:szCs w:val="24"/>
        </w:rPr>
        <w:t>跨學域</w:t>
      </w:r>
      <w:proofErr w:type="gramEnd"/>
      <w:r w:rsidRPr="00E8226C">
        <w:rPr>
          <w:rFonts w:ascii="標楷體" w:eastAsia="標楷體" w:hAnsi="標楷體" w:cs="Times New Roman"/>
          <w:kern w:val="0"/>
          <w:szCs w:val="24"/>
        </w:rPr>
        <w:t>整合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能力</w:t>
      </w:r>
      <w:r w:rsidRPr="00E8226C">
        <w:rPr>
          <w:rFonts w:ascii="標楷體" w:eastAsia="標楷體" w:hAnsi="標楷體" w:cs="Times New Roman"/>
          <w:kern w:val="0"/>
          <w:szCs w:val="24"/>
        </w:rPr>
        <w:t>，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厚植</w:t>
      </w:r>
      <w:r w:rsidRPr="00E8226C">
        <w:rPr>
          <w:rFonts w:ascii="標楷體" w:eastAsia="標楷體" w:hAnsi="標楷體" w:cs="Times New Roman"/>
          <w:kern w:val="0"/>
          <w:szCs w:val="24"/>
        </w:rPr>
        <w:t>學生實務導向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之</w:t>
      </w:r>
      <w:r w:rsidRPr="00E8226C">
        <w:rPr>
          <w:rFonts w:ascii="標楷體" w:eastAsia="標楷體" w:hAnsi="標楷體" w:cs="Times New Roman"/>
          <w:kern w:val="0"/>
          <w:szCs w:val="24"/>
        </w:rPr>
        <w:t>國際化管理能力，依據</w:t>
      </w:r>
      <w:r w:rsidRPr="00222A00">
        <w:rPr>
          <w:rFonts w:ascii="標楷體" w:eastAsia="標楷體" w:hAnsi="標楷體" w:cs="Times New Roman"/>
          <w:color w:val="FF0000"/>
          <w:kern w:val="0"/>
          <w:szCs w:val="24"/>
        </w:rPr>
        <w:t>國立臺灣海洋大學</w:t>
      </w:r>
      <w:proofErr w:type="gramStart"/>
      <w:r w:rsidRPr="00E8226C">
        <w:rPr>
          <w:rFonts w:ascii="標楷體" w:eastAsia="標楷體" w:hAnsi="標楷體" w:cs="Times New Roman"/>
          <w:kern w:val="0"/>
          <w:szCs w:val="24"/>
        </w:rPr>
        <w:t>學</w:t>
      </w:r>
      <w:proofErr w:type="gramEnd"/>
      <w:r w:rsidRPr="00E8226C">
        <w:rPr>
          <w:rFonts w:ascii="標楷體" w:eastAsia="標楷體" w:hAnsi="標楷體" w:cs="Times New Roman"/>
          <w:kern w:val="0"/>
          <w:szCs w:val="24"/>
        </w:rPr>
        <w:t>程設置準則第三條，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設置海洋工程國際學分</w:t>
      </w:r>
      <w:r w:rsidRPr="00E8226C">
        <w:rPr>
          <w:rFonts w:ascii="標楷體" w:eastAsia="標楷體" w:hAnsi="標楷體" w:cs="Times New Roman"/>
          <w:kern w:val="0"/>
          <w:szCs w:val="24"/>
        </w:rPr>
        <w:t>學程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（</w:t>
      </w:r>
      <w:r w:rsidRPr="00E8226C">
        <w:rPr>
          <w:rFonts w:ascii="標楷體" w:eastAsia="標楷體" w:hAnsi="標楷體" w:cs="Times New Roman"/>
          <w:kern w:val="0"/>
          <w:szCs w:val="24"/>
        </w:rPr>
        <w:t>以下簡稱本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學程），並</w:t>
      </w:r>
      <w:r w:rsidRPr="00E8226C">
        <w:rPr>
          <w:rFonts w:ascii="標楷體" w:eastAsia="標楷體" w:hAnsi="標楷體" w:cs="Times New Roman"/>
          <w:kern w:val="0"/>
          <w:szCs w:val="24"/>
        </w:rPr>
        <w:t>訂定國立臺灣海洋大學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工</w:t>
      </w:r>
      <w:r w:rsidRPr="00E8226C">
        <w:rPr>
          <w:rFonts w:ascii="標楷體" w:eastAsia="標楷體" w:hAnsi="標楷體" w:cs="Times New Roman"/>
          <w:kern w:val="0"/>
          <w:szCs w:val="24"/>
        </w:rPr>
        <w:t>學院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海洋工程國際學分</w:t>
      </w:r>
      <w:r w:rsidRPr="00E8226C">
        <w:rPr>
          <w:rFonts w:ascii="標楷體" w:eastAsia="標楷體" w:hAnsi="標楷體" w:cs="Times New Roman"/>
          <w:kern w:val="0"/>
          <w:szCs w:val="24"/>
        </w:rPr>
        <w:t>學程實施辦法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（以下簡稱</w:t>
      </w:r>
      <w:r w:rsidRPr="00E8226C">
        <w:rPr>
          <w:rFonts w:ascii="標楷體" w:eastAsia="標楷體" w:hAnsi="標楷體" w:cs="Times New Roman"/>
          <w:kern w:val="0"/>
          <w:szCs w:val="24"/>
        </w:rPr>
        <w:t>本辦法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）</w:t>
      </w:r>
      <w:r w:rsidRPr="00E8226C">
        <w:rPr>
          <w:rFonts w:ascii="標楷體" w:eastAsia="標楷體" w:hAnsi="標楷體" w:cs="Times New Roman"/>
          <w:kern w:val="0"/>
          <w:szCs w:val="24"/>
        </w:rPr>
        <w:t>。</w:t>
      </w:r>
    </w:p>
    <w:p w:rsidR="009C03E4" w:rsidRPr="00E8226C" w:rsidRDefault="009C03E4" w:rsidP="009C03E4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960" w:hangingChars="400" w:hanging="960"/>
        <w:rPr>
          <w:rFonts w:ascii="標楷體" w:eastAsia="標楷體" w:hAnsi="標楷體" w:cs="Times New Roman"/>
          <w:kern w:val="0"/>
          <w:szCs w:val="24"/>
        </w:rPr>
      </w:pPr>
      <w:r w:rsidRPr="00E8226C">
        <w:rPr>
          <w:rFonts w:ascii="標楷體" w:eastAsia="標楷體" w:hAnsi="標楷體" w:cs="Times New Roman"/>
          <w:kern w:val="0"/>
          <w:szCs w:val="24"/>
        </w:rPr>
        <w:t>本學程設置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海洋工程國際學分</w:t>
      </w:r>
      <w:r w:rsidRPr="00E8226C">
        <w:rPr>
          <w:rFonts w:ascii="標楷體" w:eastAsia="標楷體" w:hAnsi="標楷體" w:cs="Times New Roman"/>
          <w:kern w:val="0"/>
          <w:szCs w:val="24"/>
        </w:rPr>
        <w:t>學程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委員會</w:t>
      </w:r>
      <w:r w:rsidRPr="00E8226C">
        <w:rPr>
          <w:rFonts w:ascii="標楷體" w:eastAsia="標楷體" w:hAnsi="標楷體" w:cs="Times New Roman"/>
          <w:kern w:val="0"/>
          <w:szCs w:val="24"/>
        </w:rPr>
        <w:t>（以下簡稱本委員會），負責學程相關事宜，委員會設置辦法另定之。</w:t>
      </w:r>
    </w:p>
    <w:p w:rsidR="009C03E4" w:rsidRPr="00E8226C" w:rsidRDefault="009C03E4" w:rsidP="009C03E4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960" w:hangingChars="400" w:hanging="960"/>
        <w:rPr>
          <w:rFonts w:ascii="標楷體" w:eastAsia="標楷體" w:hAnsi="標楷體" w:cs="Times New Roman"/>
          <w:kern w:val="0"/>
          <w:szCs w:val="24"/>
        </w:rPr>
      </w:pPr>
      <w:r w:rsidRPr="00E8226C">
        <w:rPr>
          <w:rFonts w:ascii="標楷體" w:eastAsia="標楷體" w:hAnsi="標楷體" w:cs="Times New Roman"/>
          <w:kern w:val="0"/>
          <w:szCs w:val="24"/>
        </w:rPr>
        <w:t>本學程</w:t>
      </w:r>
      <w:proofErr w:type="gramStart"/>
      <w:r w:rsidRPr="00E8226C">
        <w:rPr>
          <w:rFonts w:ascii="標楷體" w:eastAsia="標楷體" w:hAnsi="標楷體" w:cs="Times New Roman"/>
          <w:kern w:val="0"/>
          <w:szCs w:val="24"/>
        </w:rPr>
        <w:t>採</w:t>
      </w:r>
      <w:proofErr w:type="gramEnd"/>
      <w:r w:rsidRPr="00E8226C">
        <w:rPr>
          <w:rFonts w:ascii="標楷體" w:eastAsia="標楷體" w:hAnsi="標楷體" w:cs="Times New Roman"/>
          <w:kern w:val="0"/>
          <w:szCs w:val="24"/>
        </w:rPr>
        <w:t>全英語授課，課程由本委員會規劃，並由本院各系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所(含學士學位學程)</w:t>
      </w:r>
      <w:r w:rsidRPr="00E8226C">
        <w:rPr>
          <w:rFonts w:ascii="標楷體" w:eastAsia="標楷體" w:hAnsi="標楷體" w:cs="Times New Roman"/>
          <w:kern w:val="0"/>
          <w:szCs w:val="24"/>
        </w:rPr>
        <w:t>提供課程。</w:t>
      </w:r>
      <w:proofErr w:type="gramStart"/>
      <w:r w:rsidRPr="00E8226C">
        <w:rPr>
          <w:rFonts w:ascii="標楷體" w:eastAsia="標楷體" w:hAnsi="標楷體" w:cs="Times New Roman"/>
          <w:kern w:val="0"/>
          <w:szCs w:val="24"/>
        </w:rPr>
        <w:t>惟</w:t>
      </w:r>
      <w:proofErr w:type="gramEnd"/>
      <w:r w:rsidRPr="00E8226C">
        <w:rPr>
          <w:rFonts w:ascii="標楷體" w:eastAsia="標楷體" w:hAnsi="標楷體" w:cs="Times New Roman"/>
          <w:kern w:val="0"/>
          <w:szCs w:val="24"/>
        </w:rPr>
        <w:t>其他開設之相關課程，亦得經本委員會認可後予以承認。</w:t>
      </w:r>
    </w:p>
    <w:p w:rsidR="009C03E4" w:rsidRPr="00E8226C" w:rsidRDefault="009C03E4" w:rsidP="009C03E4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960" w:hangingChars="400" w:hanging="960"/>
        <w:rPr>
          <w:rFonts w:ascii="標楷體" w:eastAsia="標楷體" w:hAnsi="標楷體" w:cs="Times New Roman"/>
          <w:kern w:val="0"/>
          <w:szCs w:val="24"/>
        </w:rPr>
      </w:pPr>
      <w:r w:rsidRPr="00E8226C">
        <w:rPr>
          <w:rFonts w:ascii="標楷體" w:eastAsia="標楷體" w:hAnsi="標楷體" w:cs="Times New Roman"/>
        </w:rPr>
        <w:t>凡本校學生修滿本學程規定課程及學分數者，得</w:t>
      </w:r>
      <w:r w:rsidRPr="00E8226C">
        <w:rPr>
          <w:rFonts w:ascii="標楷體" w:eastAsia="標楷體" w:hAnsi="標楷體" w:cs="Times New Roman" w:hint="eastAsia"/>
        </w:rPr>
        <w:t>提出</w:t>
      </w:r>
      <w:r w:rsidRPr="00E8226C">
        <w:rPr>
          <w:rFonts w:ascii="標楷體" w:eastAsia="標楷體" w:hAnsi="標楷體" w:cs="Times New Roman"/>
        </w:rPr>
        <w:t>申請</w:t>
      </w:r>
      <w:r w:rsidRPr="00E8226C">
        <w:rPr>
          <w:rFonts w:ascii="標楷體" w:eastAsia="標楷體" w:hAnsi="標楷體" w:cs="Times New Roman" w:hint="eastAsia"/>
        </w:rPr>
        <w:t>，經審核無誤後，由</w:t>
      </w:r>
      <w:r w:rsidRPr="00E8226C">
        <w:rPr>
          <w:rFonts w:ascii="標楷體" w:eastAsia="標楷體" w:hAnsi="標楷體" w:cs="Times New Roman"/>
        </w:rPr>
        <w:t>本校發給</w:t>
      </w:r>
      <w:r w:rsidRPr="00E8226C">
        <w:rPr>
          <w:rFonts w:ascii="標楷體" w:eastAsia="標楷體" w:hAnsi="標楷體" w:cs="Times New Roman" w:hint="eastAsia"/>
        </w:rPr>
        <w:t>學分</w:t>
      </w:r>
      <w:r w:rsidRPr="00E8226C">
        <w:rPr>
          <w:rFonts w:ascii="標楷體" w:eastAsia="標楷體" w:hAnsi="標楷體" w:cs="Times New Roman"/>
        </w:rPr>
        <w:t>學程證明書。</w:t>
      </w:r>
    </w:p>
    <w:p w:rsidR="009C03E4" w:rsidRPr="00E8226C" w:rsidRDefault="009C03E4" w:rsidP="009C03E4"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="960" w:hangingChars="400" w:hanging="960"/>
        <w:rPr>
          <w:rFonts w:ascii="標楷體" w:eastAsia="標楷體" w:hAnsi="標楷體" w:cs="Times New Roman"/>
          <w:kern w:val="0"/>
          <w:szCs w:val="24"/>
        </w:rPr>
      </w:pPr>
      <w:r w:rsidRPr="00E8226C">
        <w:rPr>
          <w:rFonts w:ascii="標楷體" w:eastAsia="標楷體" w:hAnsi="標楷體" w:cs="Times New Roman"/>
          <w:kern w:val="0"/>
          <w:szCs w:val="24"/>
        </w:rPr>
        <w:t>本學程之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修課</w:t>
      </w:r>
      <w:r w:rsidRPr="00E8226C">
        <w:rPr>
          <w:rFonts w:ascii="標楷體" w:eastAsia="標楷體" w:hAnsi="標楷體" w:cs="Times New Roman"/>
          <w:kern w:val="0"/>
          <w:szCs w:val="24"/>
        </w:rPr>
        <w:t>規定為：</w:t>
      </w:r>
    </w:p>
    <w:p w:rsidR="009C03E4" w:rsidRPr="00E8226C" w:rsidRDefault="009C03E4" w:rsidP="009C03E4">
      <w:pPr>
        <w:autoSpaceDE w:val="0"/>
        <w:autoSpaceDN w:val="0"/>
        <w:adjustRightInd w:val="0"/>
        <w:spacing w:line="440" w:lineRule="exact"/>
        <w:ind w:firstLineChars="400" w:firstLine="960"/>
        <w:rPr>
          <w:rFonts w:ascii="標楷體" w:eastAsia="標楷體" w:hAnsi="標楷體" w:cs="Times New Roman"/>
          <w:kern w:val="0"/>
          <w:szCs w:val="24"/>
        </w:rPr>
      </w:pPr>
      <w:r w:rsidRPr="00E8226C">
        <w:rPr>
          <w:rFonts w:ascii="標楷體" w:eastAsia="標楷體" w:hAnsi="標楷體" w:cs="Times New Roman"/>
          <w:kern w:val="0"/>
          <w:szCs w:val="24"/>
        </w:rPr>
        <w:t>一、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>本</w:t>
      </w:r>
      <w:r w:rsidRPr="00E8226C">
        <w:rPr>
          <w:rFonts w:ascii="標楷體" w:eastAsia="標楷體" w:hAnsi="標楷體" w:cs="Times New Roman"/>
          <w:kern w:val="0"/>
          <w:szCs w:val="24"/>
        </w:rPr>
        <w:t>學程應修學分數至少為二十學分。</w:t>
      </w:r>
    </w:p>
    <w:p w:rsidR="009C03E4" w:rsidRPr="00E8226C" w:rsidRDefault="009C03E4" w:rsidP="009C03E4">
      <w:pPr>
        <w:autoSpaceDE w:val="0"/>
        <w:autoSpaceDN w:val="0"/>
        <w:adjustRightInd w:val="0"/>
        <w:spacing w:line="440" w:lineRule="exact"/>
        <w:ind w:firstLineChars="400" w:firstLine="960"/>
        <w:rPr>
          <w:rFonts w:ascii="標楷體" w:eastAsia="標楷體" w:hAnsi="標楷體" w:cs="Times New Roman"/>
          <w:kern w:val="0"/>
          <w:szCs w:val="24"/>
        </w:rPr>
      </w:pPr>
      <w:r w:rsidRPr="00E8226C">
        <w:rPr>
          <w:rFonts w:ascii="標楷體" w:eastAsia="標楷體" w:hAnsi="標楷體" w:cs="Times New Roman"/>
          <w:kern w:val="0"/>
          <w:szCs w:val="24"/>
        </w:rPr>
        <w:t>二、抵免他校所修課程學分最多六學分為限。</w:t>
      </w:r>
    </w:p>
    <w:p w:rsidR="009C03E4" w:rsidRPr="00E8226C" w:rsidRDefault="009C03E4" w:rsidP="009C03E4">
      <w:pPr>
        <w:autoSpaceDE w:val="0"/>
        <w:autoSpaceDN w:val="0"/>
        <w:adjustRightInd w:val="0"/>
        <w:spacing w:line="440" w:lineRule="exact"/>
        <w:ind w:left="960" w:hangingChars="400" w:hanging="960"/>
        <w:rPr>
          <w:rFonts w:ascii="標楷體" w:eastAsia="標楷體" w:hAnsi="標楷體" w:cs="Times New Roman"/>
          <w:kern w:val="0"/>
          <w:szCs w:val="24"/>
        </w:rPr>
      </w:pPr>
      <w:r w:rsidRPr="00E8226C">
        <w:rPr>
          <w:rFonts w:ascii="標楷體" w:eastAsia="標楷體" w:hAnsi="標楷體" w:cs="Times New Roman"/>
          <w:kern w:val="0"/>
          <w:szCs w:val="24"/>
        </w:rPr>
        <w:t xml:space="preserve">第六條 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E8226C">
        <w:rPr>
          <w:rFonts w:ascii="標楷體" w:eastAsia="標楷體" w:hAnsi="標楷體" w:cs="Times New Roman"/>
          <w:kern w:val="0"/>
          <w:szCs w:val="24"/>
        </w:rPr>
        <w:t>本辦法如有未盡事宜，依相關辦法辦理。</w:t>
      </w:r>
    </w:p>
    <w:p w:rsidR="00530B52" w:rsidRDefault="009C03E4" w:rsidP="009C03E4">
      <w:pPr>
        <w:spacing w:line="440" w:lineRule="exact"/>
      </w:pPr>
      <w:r w:rsidRPr="00E8226C">
        <w:rPr>
          <w:rFonts w:ascii="標楷體" w:eastAsia="標楷體" w:hAnsi="標楷體" w:cs="Times New Roman"/>
          <w:kern w:val="0"/>
          <w:szCs w:val="24"/>
        </w:rPr>
        <w:t xml:space="preserve">第七條 </w:t>
      </w:r>
      <w:r w:rsidRPr="00E8226C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E8226C">
        <w:rPr>
          <w:rFonts w:ascii="標楷體" w:eastAsia="標楷體" w:hAnsi="標楷體" w:cs="Times New Roman"/>
          <w:kern w:val="0"/>
          <w:szCs w:val="24"/>
        </w:rPr>
        <w:t>本辦法經校課程委員會議、教務會議通過後發布施行。</w:t>
      </w:r>
    </w:p>
    <w:sectPr w:rsidR="00530B52" w:rsidSect="009C03E4">
      <w:pgSz w:w="11906" w:h="16838"/>
      <w:pgMar w:top="1247" w:right="1361" w:bottom="124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657"/>
    <w:multiLevelType w:val="hybridMultilevel"/>
    <w:tmpl w:val="DA021086"/>
    <w:lvl w:ilvl="0" w:tplc="DA64EF5A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E4"/>
    <w:rsid w:val="00530B52"/>
    <w:rsid w:val="00914679"/>
    <w:rsid w:val="009C03E4"/>
    <w:rsid w:val="009C601A"/>
    <w:rsid w:val="00C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E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3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E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3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2020-06-23T08:36:00Z</cp:lastPrinted>
  <dcterms:created xsi:type="dcterms:W3CDTF">2020-06-23T08:26:00Z</dcterms:created>
  <dcterms:modified xsi:type="dcterms:W3CDTF">2020-06-29T06:31:00Z</dcterms:modified>
</cp:coreProperties>
</file>